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9AFD6" w14:textId="6DBF84D4" w:rsidR="0022279C" w:rsidRPr="00305510" w:rsidRDefault="00305510" w:rsidP="002227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Выдержки из информации </w:t>
      </w:r>
      <w:r w:rsidR="0022279C" w:rsidRPr="00305510">
        <w:rPr>
          <w:rFonts w:ascii="Times New Roman" w:hAnsi="Times New Roman" w:cs="Times New Roman"/>
        </w:rPr>
        <w:t>пресс-службы Банка России от 10 августа 2020 г.</w:t>
      </w:r>
    </w:p>
    <w:p w14:paraId="2C1583A5" w14:textId="434E784B" w:rsidR="0022279C" w:rsidRPr="0022279C" w:rsidRDefault="0022279C" w:rsidP="0022279C">
      <w:r w:rsidRPr="0022279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Банк России принял решение по регуляторным послаблениям и </w:t>
      </w:r>
      <w:proofErr w:type="spellStart"/>
      <w:r w:rsidRPr="0022279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макропруденциальным</w:t>
      </w:r>
      <w:proofErr w:type="spellEnd"/>
      <w:r w:rsidRPr="0022279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мерам</w:t>
      </w:r>
    </w:p>
    <w:p w14:paraId="1BDEDCD5" w14:textId="77777777" w:rsidR="0022279C" w:rsidRPr="0022279C" w:rsidRDefault="0022279C" w:rsidP="0022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 настоящее время ситуация в российском финансовом секторе существенно улучшилась относительно начала пандемии, что проявляется в стабилизации финансовых рынков, постепенном снятии ограничительных мер в России, налаженных процессах работы финансовых организаций в условиях пандемии.</w:t>
      </w:r>
    </w:p>
    <w:p w14:paraId="4FCA91E6" w14:textId="77777777" w:rsidR="0022279C" w:rsidRPr="0022279C" w:rsidRDefault="0022279C" w:rsidP="0022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 этом спад экономики, сокращение доходов компаний и граждан приводят к росту кредитных рисков. Регуляторные послабления способствовали реструктуризации кредитов, дали возможность части заемщиков восстановить свое финансовое положение. Выход из послаблений не должен быть резким, чтобы банки и другие финансовые организации смогли адаптироваться и не были вынуждены сокращать кредитование экономики. Однако постепенное сворачивание мер необходимо, поскольку только корректная оценка рисков может обеспечить долгосрочную устойчивость финансового сектора. Банк России рекомендует банкам и другим финансовым организациям учитывать график формирования резервов на основе стандартного регулирования и сроки выхода из других временных мер при принятии решений о выплате дивидендов и вознаграждения для лиц, принимающих риски.</w:t>
      </w:r>
    </w:p>
    <w:p w14:paraId="294BF913" w14:textId="77777777" w:rsidR="0022279C" w:rsidRPr="0022279C" w:rsidRDefault="0022279C" w:rsidP="0022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Большая часть мер Банка России в связи с пандемией принималась на период с 1 марта до 30 сентября 2020 года. Банк России принял решения о продлении части регуляторных послаблений, о реализации новых </w:t>
      </w:r>
      <w:proofErr w:type="spellStart"/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контрциклических</w:t>
      </w:r>
      <w:proofErr w:type="spellEnd"/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мер для поддержки экономики и о прекращении действия ряда временных мер, введенных в связи с пандемией.</w:t>
      </w:r>
    </w:p>
    <w:p w14:paraId="629F238B" w14:textId="77777777" w:rsidR="0022279C" w:rsidRPr="0022279C" w:rsidRDefault="0022279C" w:rsidP="0022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Меры по поддержке граждан</w:t>
      </w:r>
    </w:p>
    <w:p w14:paraId="0E237CF1" w14:textId="77777777" w:rsidR="0022279C" w:rsidRPr="0022279C" w:rsidRDefault="0022279C" w:rsidP="0022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1.1. Меры по поддержке граждан, столкнувшихся с существенным сокращением доходов и (или) заболевших COVID-19</w:t>
      </w:r>
    </w:p>
    <w:p w14:paraId="027CDD2E" w14:textId="77777777" w:rsidR="0022279C" w:rsidRPr="0022279C" w:rsidRDefault="0022279C" w:rsidP="0022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 целях предоставления гражданам возможности восстановить свое финансовое положение Банк России рекомендует:</w:t>
      </w:r>
    </w:p>
    <w:p w14:paraId="0B3DE6F6" w14:textId="77777777" w:rsidR="0022279C" w:rsidRPr="0022279C" w:rsidRDefault="0022279C" w:rsidP="002227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кредитным организациям и микрофинансовым институтам</w:t>
      </w:r>
      <w:r w:rsidRPr="002227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до 31 декабря 2020 года</w:t>
      </w: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продолжать реструктурировать кредиты (займы) граждан, столкнувшихся с существенным сокращением доходов и (или) заболевших коронавирусной инфекцией, в рамках собственных программ, не назначать </w:t>
      </w:r>
      <w:r w:rsidRPr="002227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 31 декабря 2020 года</w:t>
      </w: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пени и штрафы по реструктурированным кредитам (займам);</w:t>
      </w:r>
    </w:p>
    <w:p w14:paraId="76A8BC22" w14:textId="77777777" w:rsidR="0022279C" w:rsidRPr="0022279C" w:rsidRDefault="0022279C" w:rsidP="002227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кредитным организациям и микрофинансовым институтам</w:t>
      </w:r>
      <w:r w:rsidRPr="002227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до 31 декабря 2020 года</w:t>
      </w: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приостановить процедуры принудительного выселения должников (бывших собственников и лиц, совместно с ними проживающих) из жилых помещений, на которые кредиторами ранее было обращено взыскание;</w:t>
      </w:r>
    </w:p>
    <w:p w14:paraId="207B598C" w14:textId="77777777" w:rsidR="0022279C" w:rsidRPr="0022279C" w:rsidRDefault="0022279C" w:rsidP="002227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кредитным организациям и микрофинансовым институтам в случае нарушения после 1 марта 2020 года заемщиком — физическим лицом обязательств по договору в связи с существенным снижением дохода заемщика (совокупного дохода </w:t>
      </w:r>
      <w:proofErr w:type="spellStart"/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созаемщиков</w:t>
      </w:r>
      <w:proofErr w:type="spellEnd"/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и (или) подтверждением COVID-19 у заемщика и (или) совместно </w:t>
      </w: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проживающих с ним членов его семьи </w:t>
      </w:r>
      <w:r w:rsidRPr="002227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 31 декабря 2020 года</w:t>
      </w: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 обращать взыскание на недвижимое имущество, являющееся обеспечением по требованиям;</w:t>
      </w:r>
    </w:p>
    <w:p w14:paraId="41519C93" w14:textId="77777777" w:rsidR="0022279C" w:rsidRPr="0022279C" w:rsidRDefault="0022279C" w:rsidP="0022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Одновременно Банк России дает возможность кредиторам использовать следующие регуляторные послабления:</w:t>
      </w:r>
    </w:p>
    <w:p w14:paraId="1E124AAE" w14:textId="77777777" w:rsidR="0022279C" w:rsidRPr="0022279C" w:rsidRDefault="0022279C" w:rsidP="002227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Микрофинансовым организациям предоставлена возможность не признавать займы реструктурированными и не применять в отношении займов корректирующие коэффициенты по требованиям к заемщикам, у которых значение ПДН составляет более 50%, при расчете норматива достаточности собственных средств </w:t>
      </w:r>
      <w:r w:rsidRPr="002227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 31 декабря 2020 года.</w:t>
      </w: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 1 июля 2021 года такие коэффициенты по займам с ПДН более 50% должны применяться в полном объеме.</w:t>
      </w:r>
    </w:p>
    <w:p w14:paraId="3EC7B0A1" w14:textId="77777777" w:rsidR="0022279C" w:rsidRPr="0022279C" w:rsidRDefault="0022279C" w:rsidP="0022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1.2. Меры по поддержке потребительского кредитования</w:t>
      </w:r>
    </w:p>
    <w:p w14:paraId="0DCFEBE7" w14:textId="77777777" w:rsidR="0022279C" w:rsidRPr="0022279C" w:rsidRDefault="0022279C" w:rsidP="0022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1.2.1. Снижение надбавок по новым необеспеченным потребительским кредитам</w:t>
      </w:r>
    </w:p>
    <w:p w14:paraId="7C99C778" w14:textId="77777777" w:rsidR="0022279C" w:rsidRPr="0022279C" w:rsidRDefault="0022279C" w:rsidP="0022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 начала пандемии в сегменте необеспеченного потребительского кредитования наблюдалось сжатие кредитного портфеля. Темпы роста ссудной задолженности составили −1,7% в апреле, −0,2% в мае, 0,4% в июне. По предварительным данным опроса крупнейших банков</w:t>
      </w: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1</w:t>
      </w: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за июль задолженность снизилась на 0,3%. Замедление кредитования происходит как на фоне снижения спроса на кредиты со стороны населения (количество поданных заявок на получение кредита снизилось в II квартале по сравнению с I кварталом на 20–25%), так и из-за ужесточения требований банков к заемщикам.</w:t>
      </w:r>
    </w:p>
    <w:p w14:paraId="32863C88" w14:textId="77777777" w:rsidR="0022279C" w:rsidRPr="0022279C" w:rsidRDefault="0022279C" w:rsidP="0022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 II–III кварталах 2020 года часть населения столкнулась с резким временным снижением доходов в условиях действия ограничительных мер. Даже в случае восстановления доходов данный факт приведет к росту значения ПДН новых заемщиков</w:t>
      </w: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соответственно, больше кредитов будет подпадать под более высокий уровень </w:t>
      </w:r>
      <w:proofErr w:type="spellStart"/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макропруденциальных</w:t>
      </w:r>
      <w:proofErr w:type="spellEnd"/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надбавок. При этом по мере обновления кредитного портфеля растет доля кредитов, подпадающих под действие надбавок, повышенных с 1 октября 2019 года (средний уровень надбавок повысился за первую половину 2020 года с 65 до 71 </w:t>
      </w:r>
      <w:proofErr w:type="spellStart"/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п.п</w:t>
      </w:r>
      <w:proofErr w:type="spellEnd"/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.). Это увеличивает требования к капиталу банков и способствует замедлению кредитования.</w:t>
      </w:r>
    </w:p>
    <w:p w14:paraId="62CD03A6" w14:textId="77777777" w:rsidR="0022279C" w:rsidRPr="0022279C" w:rsidRDefault="0022279C" w:rsidP="0022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 целях поддержания розничного кредитования в данных условиях Банк России снижает значения надбавок к коэффициентам риска по необеспеченным потребительским кредитам, предоставленным с 1 сентября 2020 года, в соответствии с таблицей 1.</w:t>
      </w:r>
    </w:p>
    <w:p w14:paraId="6E11D3C4" w14:textId="77777777" w:rsidR="0022279C" w:rsidRPr="0022279C" w:rsidRDefault="0022279C" w:rsidP="0022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 1. Значения надбавок по необеспеченным потребительским кредитам в рублях, выданным с 1 сентября 2020 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813"/>
        <w:gridCol w:w="693"/>
        <w:gridCol w:w="812"/>
        <w:gridCol w:w="812"/>
        <w:gridCol w:w="812"/>
        <w:gridCol w:w="812"/>
        <w:gridCol w:w="812"/>
        <w:gridCol w:w="596"/>
        <w:gridCol w:w="985"/>
      </w:tblGrid>
      <w:tr w:rsidR="0022279C" w:rsidRPr="0022279C" w14:paraId="2D69CCB6" w14:textId="77777777" w:rsidTr="0022279C">
        <w:trPr>
          <w:tblCellSpacing w:w="15" w:type="dxa"/>
        </w:trPr>
        <w:tc>
          <w:tcPr>
            <w:tcW w:w="0" w:type="auto"/>
            <w:gridSpan w:val="2"/>
            <w:vMerge w:val="restart"/>
            <w:vAlign w:val="center"/>
            <w:hideMark/>
          </w:tcPr>
          <w:p w14:paraId="3CF5E596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Надбавка, </w:t>
            </w:r>
            <w:proofErr w:type="spellStart"/>
            <w:r w:rsidRPr="00222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222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40758E2C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ПДН, %</w:t>
            </w:r>
          </w:p>
        </w:tc>
        <w:tc>
          <w:tcPr>
            <w:tcW w:w="0" w:type="auto"/>
            <w:vAlign w:val="center"/>
            <w:hideMark/>
          </w:tcPr>
          <w:p w14:paraId="78DC104A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279C" w:rsidRPr="0022279C" w14:paraId="2FBE5F2D" w14:textId="77777777" w:rsidTr="0022279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14:paraId="4EDF3643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318181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(0–30]</w:t>
            </w:r>
          </w:p>
        </w:tc>
        <w:tc>
          <w:tcPr>
            <w:tcW w:w="0" w:type="auto"/>
            <w:vAlign w:val="center"/>
            <w:hideMark/>
          </w:tcPr>
          <w:p w14:paraId="5A42118C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(30–40]</w:t>
            </w:r>
          </w:p>
        </w:tc>
        <w:tc>
          <w:tcPr>
            <w:tcW w:w="0" w:type="auto"/>
            <w:vAlign w:val="center"/>
            <w:hideMark/>
          </w:tcPr>
          <w:p w14:paraId="33A7FFFA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(40–50]</w:t>
            </w:r>
          </w:p>
        </w:tc>
        <w:tc>
          <w:tcPr>
            <w:tcW w:w="0" w:type="auto"/>
            <w:vAlign w:val="center"/>
            <w:hideMark/>
          </w:tcPr>
          <w:p w14:paraId="4F13E4AC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(50–60]</w:t>
            </w:r>
          </w:p>
        </w:tc>
        <w:tc>
          <w:tcPr>
            <w:tcW w:w="0" w:type="auto"/>
            <w:vAlign w:val="center"/>
            <w:hideMark/>
          </w:tcPr>
          <w:p w14:paraId="493885EE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(60–70]</w:t>
            </w:r>
          </w:p>
        </w:tc>
        <w:tc>
          <w:tcPr>
            <w:tcW w:w="0" w:type="auto"/>
            <w:vAlign w:val="center"/>
            <w:hideMark/>
          </w:tcPr>
          <w:p w14:paraId="1876E76F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(70–80]</w:t>
            </w:r>
          </w:p>
        </w:tc>
        <w:tc>
          <w:tcPr>
            <w:tcW w:w="0" w:type="auto"/>
            <w:vAlign w:val="center"/>
            <w:hideMark/>
          </w:tcPr>
          <w:p w14:paraId="24995D5A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(80+)</w:t>
            </w:r>
          </w:p>
        </w:tc>
        <w:tc>
          <w:tcPr>
            <w:tcW w:w="0" w:type="auto"/>
            <w:vAlign w:val="center"/>
            <w:hideMark/>
          </w:tcPr>
          <w:p w14:paraId="2A9EF8DF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 ПДН</w:t>
            </w:r>
          </w:p>
        </w:tc>
      </w:tr>
      <w:tr w:rsidR="0022279C" w:rsidRPr="0022279C" w14:paraId="022A127F" w14:textId="77777777" w:rsidTr="0022279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55604DC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Полная стоимость кредита, %</w:t>
            </w:r>
          </w:p>
        </w:tc>
        <w:tc>
          <w:tcPr>
            <w:tcW w:w="0" w:type="auto"/>
            <w:vAlign w:val="center"/>
            <w:hideMark/>
          </w:tcPr>
          <w:p w14:paraId="400538A6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(0–10]</w:t>
            </w:r>
          </w:p>
        </w:tc>
        <w:tc>
          <w:tcPr>
            <w:tcW w:w="0" w:type="auto"/>
            <w:vAlign w:val="center"/>
            <w:hideMark/>
          </w:tcPr>
          <w:p w14:paraId="235B1225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7D3E71C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7561CED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DA07E65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11DE1C6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226B5727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0AFB2E24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6125CCAE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2279C" w:rsidRPr="0022279C" w14:paraId="7DB68D36" w14:textId="77777777" w:rsidTr="0022279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314391A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DF5F4E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(10–15]</w:t>
            </w:r>
          </w:p>
        </w:tc>
        <w:tc>
          <w:tcPr>
            <w:tcW w:w="0" w:type="auto"/>
            <w:vAlign w:val="center"/>
            <w:hideMark/>
          </w:tcPr>
          <w:p w14:paraId="69582167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5066619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187CCB0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1C43C4E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004A30F1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39442E4C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07B0DB8D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26E36C18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2279C" w:rsidRPr="0022279C" w14:paraId="5F11ED4F" w14:textId="77777777" w:rsidTr="0022279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F544F2B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6E1CE2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(15–20]</w:t>
            </w:r>
          </w:p>
        </w:tc>
        <w:tc>
          <w:tcPr>
            <w:tcW w:w="0" w:type="auto"/>
            <w:vAlign w:val="center"/>
            <w:hideMark/>
          </w:tcPr>
          <w:p w14:paraId="5B56D208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CC46522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0568963B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85816D9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06714C44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4387807B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058B5DE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2645CE8E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2279C" w:rsidRPr="0022279C" w14:paraId="71EC3B45" w14:textId="77777777" w:rsidTr="0022279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DC9D3BA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CC7337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(20–25]</w:t>
            </w:r>
          </w:p>
        </w:tc>
        <w:tc>
          <w:tcPr>
            <w:tcW w:w="0" w:type="auto"/>
            <w:vAlign w:val="center"/>
            <w:hideMark/>
          </w:tcPr>
          <w:p w14:paraId="086CED5C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55DA96DF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3DDAC88C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0D4C6D0B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7FFEBBA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40032945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545308B8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14:paraId="10824DB8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2279C" w:rsidRPr="0022279C" w14:paraId="2F46DD02" w14:textId="77777777" w:rsidTr="0022279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EAAC573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657829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(25–30]</w:t>
            </w:r>
          </w:p>
        </w:tc>
        <w:tc>
          <w:tcPr>
            <w:tcW w:w="0" w:type="auto"/>
            <w:vAlign w:val="center"/>
            <w:hideMark/>
          </w:tcPr>
          <w:p w14:paraId="77BF9D40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D0090B9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9BCAF0B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6942ECA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7DD39D2C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3A419E1E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025BA591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10EB55CA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22279C" w:rsidRPr="0022279C" w14:paraId="186D2719" w14:textId="77777777" w:rsidTr="0022279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C99702A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70DE50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(30–35]</w:t>
            </w:r>
          </w:p>
        </w:tc>
        <w:tc>
          <w:tcPr>
            <w:tcW w:w="0" w:type="auto"/>
            <w:vAlign w:val="center"/>
            <w:hideMark/>
          </w:tcPr>
          <w:p w14:paraId="460D81D9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0F3B330F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6D227607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5E16D17E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2C6FBECB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55F73A6D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14:paraId="088948C9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15B9EAB0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22279C" w:rsidRPr="0022279C" w14:paraId="0A75208D" w14:textId="77777777" w:rsidTr="0022279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E81B6A9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493D4C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(35+)</w:t>
            </w:r>
          </w:p>
        </w:tc>
        <w:tc>
          <w:tcPr>
            <w:tcW w:w="0" w:type="auto"/>
            <w:vAlign w:val="center"/>
            <w:hideMark/>
          </w:tcPr>
          <w:p w14:paraId="31C16686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6386FB51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4C644E0F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3F13640D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65F20EF4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12348461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03C739A2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0CFABEC4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</w:tbl>
    <w:p w14:paraId="4A6E6F4E" w14:textId="77777777" w:rsidR="0022279C" w:rsidRPr="0022279C" w:rsidRDefault="0022279C" w:rsidP="0022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Таблица 2. </w:t>
      </w:r>
      <w:proofErr w:type="spellStart"/>
      <w:r w:rsidRPr="002227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Справочно</w:t>
      </w:r>
      <w:proofErr w:type="spellEnd"/>
      <w:r w:rsidRPr="002227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 значения надбавок по необеспеченным потребительским кредитам в рублях, предоставленным с 1 октября 2019 года по 31 августа 2020 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813"/>
        <w:gridCol w:w="693"/>
        <w:gridCol w:w="812"/>
        <w:gridCol w:w="812"/>
        <w:gridCol w:w="812"/>
        <w:gridCol w:w="812"/>
        <w:gridCol w:w="812"/>
        <w:gridCol w:w="596"/>
        <w:gridCol w:w="985"/>
      </w:tblGrid>
      <w:tr w:rsidR="0022279C" w:rsidRPr="0022279C" w14:paraId="30190745" w14:textId="77777777" w:rsidTr="0022279C">
        <w:trPr>
          <w:tblCellSpacing w:w="15" w:type="dxa"/>
        </w:trPr>
        <w:tc>
          <w:tcPr>
            <w:tcW w:w="0" w:type="auto"/>
            <w:gridSpan w:val="2"/>
            <w:vMerge w:val="restart"/>
            <w:vAlign w:val="center"/>
            <w:hideMark/>
          </w:tcPr>
          <w:p w14:paraId="09B0D204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Надбавка, </w:t>
            </w:r>
            <w:proofErr w:type="spellStart"/>
            <w:r w:rsidRPr="00222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222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5F758C4A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ПДН, %</w:t>
            </w:r>
          </w:p>
        </w:tc>
        <w:tc>
          <w:tcPr>
            <w:tcW w:w="0" w:type="auto"/>
            <w:vAlign w:val="center"/>
            <w:hideMark/>
          </w:tcPr>
          <w:p w14:paraId="3B93CC7F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279C" w:rsidRPr="0022279C" w14:paraId="05F38DF0" w14:textId="77777777" w:rsidTr="0022279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14:paraId="4B38A175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96D29B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(0–30]</w:t>
            </w:r>
          </w:p>
        </w:tc>
        <w:tc>
          <w:tcPr>
            <w:tcW w:w="0" w:type="auto"/>
            <w:vAlign w:val="center"/>
            <w:hideMark/>
          </w:tcPr>
          <w:p w14:paraId="731A5AA0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(30–40]</w:t>
            </w:r>
          </w:p>
        </w:tc>
        <w:tc>
          <w:tcPr>
            <w:tcW w:w="0" w:type="auto"/>
            <w:vAlign w:val="center"/>
            <w:hideMark/>
          </w:tcPr>
          <w:p w14:paraId="55138F8E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(40–50]</w:t>
            </w:r>
          </w:p>
        </w:tc>
        <w:tc>
          <w:tcPr>
            <w:tcW w:w="0" w:type="auto"/>
            <w:vAlign w:val="center"/>
            <w:hideMark/>
          </w:tcPr>
          <w:p w14:paraId="6A7715EC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(50–60]</w:t>
            </w:r>
          </w:p>
        </w:tc>
        <w:tc>
          <w:tcPr>
            <w:tcW w:w="0" w:type="auto"/>
            <w:vAlign w:val="center"/>
            <w:hideMark/>
          </w:tcPr>
          <w:p w14:paraId="7590E8AE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(60–70]</w:t>
            </w:r>
          </w:p>
        </w:tc>
        <w:tc>
          <w:tcPr>
            <w:tcW w:w="0" w:type="auto"/>
            <w:vAlign w:val="center"/>
            <w:hideMark/>
          </w:tcPr>
          <w:p w14:paraId="533B5545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(70–80]</w:t>
            </w:r>
          </w:p>
        </w:tc>
        <w:tc>
          <w:tcPr>
            <w:tcW w:w="0" w:type="auto"/>
            <w:vAlign w:val="center"/>
            <w:hideMark/>
          </w:tcPr>
          <w:p w14:paraId="26430DDC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(80+)</w:t>
            </w:r>
          </w:p>
        </w:tc>
        <w:tc>
          <w:tcPr>
            <w:tcW w:w="0" w:type="auto"/>
            <w:vAlign w:val="center"/>
            <w:hideMark/>
          </w:tcPr>
          <w:p w14:paraId="757789EF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 ПДН</w:t>
            </w:r>
          </w:p>
        </w:tc>
      </w:tr>
      <w:tr w:rsidR="0022279C" w:rsidRPr="0022279C" w14:paraId="7F35E5FE" w14:textId="77777777" w:rsidTr="0022279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B98EA41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Полная стоимость кредита, %</w:t>
            </w:r>
          </w:p>
        </w:tc>
        <w:tc>
          <w:tcPr>
            <w:tcW w:w="0" w:type="auto"/>
            <w:vAlign w:val="center"/>
            <w:hideMark/>
          </w:tcPr>
          <w:p w14:paraId="645FB70C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(0–10]</w:t>
            </w:r>
          </w:p>
        </w:tc>
        <w:tc>
          <w:tcPr>
            <w:tcW w:w="0" w:type="auto"/>
            <w:vAlign w:val="center"/>
            <w:hideMark/>
          </w:tcPr>
          <w:p w14:paraId="46FE35E1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2165CF82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59D66EBD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12633190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0271202E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48EC4766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2B7BE0DC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4A6E295E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2279C" w:rsidRPr="0022279C" w14:paraId="65FF3A69" w14:textId="77777777" w:rsidTr="0022279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1C54239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8A75C7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(10–15]</w:t>
            </w:r>
          </w:p>
        </w:tc>
        <w:tc>
          <w:tcPr>
            <w:tcW w:w="0" w:type="auto"/>
            <w:vAlign w:val="center"/>
            <w:hideMark/>
          </w:tcPr>
          <w:p w14:paraId="35D50A71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48FE5EE7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618B9331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429A9F62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40E1519C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1F04B3CD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272890E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4F009FCC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2279C" w:rsidRPr="0022279C" w14:paraId="03F39C59" w14:textId="77777777" w:rsidTr="0022279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B70BE2A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3C19EF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(15–20]</w:t>
            </w:r>
          </w:p>
        </w:tc>
        <w:tc>
          <w:tcPr>
            <w:tcW w:w="0" w:type="auto"/>
            <w:vAlign w:val="center"/>
            <w:hideMark/>
          </w:tcPr>
          <w:p w14:paraId="3FBBED5F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278E1F9E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125FBC87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7DD04F7F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3B86ADC7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38C581D6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0C12C0B8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4677FB61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22279C" w:rsidRPr="0022279C" w14:paraId="2BFED2E3" w14:textId="77777777" w:rsidTr="0022279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3C1A939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85AD9A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(20–25]</w:t>
            </w:r>
          </w:p>
        </w:tc>
        <w:tc>
          <w:tcPr>
            <w:tcW w:w="0" w:type="auto"/>
            <w:vAlign w:val="center"/>
            <w:hideMark/>
          </w:tcPr>
          <w:p w14:paraId="4E61A1C5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287DE95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172AFB5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7CB615C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4062DF83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14:paraId="2C2588CF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36FE31AF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50C4E129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22279C" w:rsidRPr="0022279C" w14:paraId="280DD38B" w14:textId="77777777" w:rsidTr="0022279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9ED2501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B18FB3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(25–30]</w:t>
            </w:r>
          </w:p>
        </w:tc>
        <w:tc>
          <w:tcPr>
            <w:tcW w:w="0" w:type="auto"/>
            <w:vAlign w:val="center"/>
            <w:hideMark/>
          </w:tcPr>
          <w:p w14:paraId="3BE294ED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7E782C33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63449424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58F40D68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25B330F0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66693F14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6EA5BE93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678D0536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22279C" w:rsidRPr="0022279C" w14:paraId="7B6EB998" w14:textId="77777777" w:rsidTr="0022279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57936B1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33EAD0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(30–35]</w:t>
            </w:r>
          </w:p>
        </w:tc>
        <w:tc>
          <w:tcPr>
            <w:tcW w:w="0" w:type="auto"/>
            <w:vAlign w:val="center"/>
            <w:hideMark/>
          </w:tcPr>
          <w:p w14:paraId="10C3DE1F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452CF359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68807DFD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246E38E4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33893E79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332E71EA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14:paraId="17D4DC33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5C106139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22279C" w:rsidRPr="0022279C" w14:paraId="69832DBF" w14:textId="77777777" w:rsidTr="0022279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1D30004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B486C5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(35+)</w:t>
            </w:r>
          </w:p>
        </w:tc>
        <w:tc>
          <w:tcPr>
            <w:tcW w:w="0" w:type="auto"/>
            <w:vAlign w:val="center"/>
            <w:hideMark/>
          </w:tcPr>
          <w:p w14:paraId="06A3344C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3E19FD7C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061E4888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52D12BA6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3D845985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196B1178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3B89ED61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35647256" w14:textId="77777777" w:rsidR="0022279C" w:rsidRPr="0022279C" w:rsidRDefault="0022279C" w:rsidP="0022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</w:tbl>
    <w:p w14:paraId="687EF6CA" w14:textId="77777777" w:rsidR="0022279C" w:rsidRPr="0022279C" w:rsidRDefault="0022279C" w:rsidP="0022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Снижение надбавок в наибольшей степени коснется наименее рискованных заемщиков с низким показателем ПДН, поэтому новая структура надбавок по-прежнему будет </w:t>
      </w:r>
      <w:proofErr w:type="spellStart"/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дестимулировать</w:t>
      </w:r>
      <w:proofErr w:type="spellEnd"/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рост закредитованности. При этом в результате снижения уровня надбавок не будет происходить увеличения требований к капиталу по кредитному портфелю по мере предоставления банками новых кредитов. Это будет способствовать поддержанию устойчивых темпов роста кредитования и доступности кредитов для граждан.</w:t>
      </w:r>
    </w:p>
    <w:p w14:paraId="69CE8DA1" w14:textId="77777777" w:rsidR="0022279C" w:rsidRPr="0022279C" w:rsidRDefault="0022279C" w:rsidP="0022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1.2.2. Снижение буфера по ранее выданным необеспеченным потребительским кредитам</w:t>
      </w:r>
    </w:p>
    <w:p w14:paraId="341C490F" w14:textId="77777777" w:rsidR="0022279C" w:rsidRPr="0022279C" w:rsidRDefault="0022279C" w:rsidP="0022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 первую половину 2020 года объем сформированных банками резервов на возможные потери по розничным ссудам составил на 102 млрд рублей больше, чем за аналогичный период предыдущего года. Для компенсации уже реализовавшихся </w:t>
      </w:r>
      <w:proofErr w:type="spellStart"/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проциклических</w:t>
      </w:r>
      <w:proofErr w:type="spellEnd"/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потерь кредитных организаций, связанных с ухудшением качества портфеля необеспеченных потребительских кредитов, а также потенциальных потерь по реструктурированным кредитам физических лиц Банк России в соответствии с </w:t>
      </w:r>
      <w:proofErr w:type="spellStart"/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контрциклическим</w:t>
      </w:r>
      <w:proofErr w:type="spellEnd"/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подходом проведения </w:t>
      </w:r>
      <w:proofErr w:type="spellStart"/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макропруденциальной</w:t>
      </w:r>
      <w:proofErr w:type="spellEnd"/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политики отменяет надбавки к коэффициентам риска по выданным по 31 августа 2019 года необеспеченным потребительским кредитам в рублях.</w:t>
      </w:r>
    </w:p>
    <w:p w14:paraId="3C2B89AF" w14:textId="77777777" w:rsidR="0022279C" w:rsidRPr="0022279C" w:rsidRDefault="0022279C" w:rsidP="0022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Отмена данных надбавок эквивалентна увеличению капитала банков на 168 млрд рублей. Это окажет поддержку нормативам банков в условиях роста расходов по формированию резервов и увеличит их кредитный потенциал. При этом у банков по-прежнему останется </w:t>
      </w:r>
      <w:proofErr w:type="spellStart"/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макропруденциальный</w:t>
      </w:r>
      <w:proofErr w:type="spellEnd"/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буфер по необеспеченным потребительским кредитам величиной до 440 млрд рублей, накопленный за последний год действия надбавок. В дальнейшем Банк России продолжит проводить </w:t>
      </w:r>
      <w:proofErr w:type="spellStart"/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контрциклическую</w:t>
      </w:r>
      <w:proofErr w:type="spellEnd"/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политику в случае роста потерь банков по предоставленным кредитам.</w:t>
      </w:r>
    </w:p>
    <w:p w14:paraId="6D4DD21E" w14:textId="77777777" w:rsidR="0022279C" w:rsidRPr="0022279C" w:rsidRDefault="0022279C" w:rsidP="0022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1.3. Меры по поддержке граждан в случае, если срок действия их документа, удостоверяющего личность, истек</w:t>
      </w:r>
    </w:p>
    <w:p w14:paraId="5D82B70B" w14:textId="77777777" w:rsidR="0022279C" w:rsidRPr="0022279C" w:rsidRDefault="0022279C" w:rsidP="0022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 целях предоставления гражданам возможности получения финансовых услуг и принимая во внимание положения приказа МВД России от 09.06.2020 № 410 «Об определении порядков и сроков замены документов, названных в пункте 1 Указа Президента Российской Федерации от 18 апреля 2020 г. № 275, и выдачи паспорта гражданина Российской Федерации, удостоверяющего личность гражданина Российской Федерации на территории Российской Федерации, гражданам Российской Федерации, названным в пункте 2 Указа Президента Российской Федерации от 18 апреля 2020 г. № 275», зарегистрированного Минюстом России 30.06.2020 № 58802, Банк России рекомендует:</w:t>
      </w:r>
    </w:p>
    <w:p w14:paraId="7AB4FB6E" w14:textId="77777777" w:rsidR="0022279C" w:rsidRPr="0022279C" w:rsidRDefault="0022279C" w:rsidP="002227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кредитным организациям и </w:t>
      </w:r>
      <w:proofErr w:type="spellStart"/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некредитным</w:t>
      </w:r>
      <w:proofErr w:type="spellEnd"/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финансовым организациям до 31 декабря 2020 года продолжать обслуживание клиентов в случае, если срок действия документа, удостоверяющего личность физического лица, являющегося клиентом, представителем клиента, выгодоприобретателем, бенефициарным владельцем, истек в период с 1 февраля по 15 июля 2020 года;</w:t>
      </w:r>
    </w:p>
    <w:p w14:paraId="0C1EB462" w14:textId="77777777" w:rsidR="0022279C" w:rsidRPr="0022279C" w:rsidRDefault="0022279C" w:rsidP="002227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кредитным организациям и </w:t>
      </w:r>
      <w:proofErr w:type="spellStart"/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некредитным</w:t>
      </w:r>
      <w:proofErr w:type="spellEnd"/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финансовым организациям до 31 декабря 2020 года не отказывать в приеме на обслуживание физическим лицам только в связи с тем, что срок действия их документа, удостоверяющего личность, истек в период с 1 февраля по 15 июля 2020 года;</w:t>
      </w:r>
    </w:p>
    <w:p w14:paraId="10FACC2D" w14:textId="77777777" w:rsidR="0022279C" w:rsidRPr="0022279C" w:rsidRDefault="0022279C" w:rsidP="002227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кредитным организациям и </w:t>
      </w:r>
      <w:proofErr w:type="spellStart"/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некредитным</w:t>
      </w:r>
      <w:proofErr w:type="spellEnd"/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финансовым организациям рекомендуется обеспечить обновление сведений о документе, удостоверяющем личность, срок действия которого истек в период с 1 февраля по 15 июля 2020 года, до 31 января 2021 года;</w:t>
      </w:r>
    </w:p>
    <w:p w14:paraId="00779326" w14:textId="77777777" w:rsidR="0022279C" w:rsidRPr="0022279C" w:rsidRDefault="0022279C" w:rsidP="002227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кредитным организациям и </w:t>
      </w:r>
      <w:proofErr w:type="spellStart"/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некредитным</w:t>
      </w:r>
      <w:proofErr w:type="spellEnd"/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финансовым организациям до 30 сентября 2020 года продолжать обслуживание клиентов в случае, если срок действия документа, удостоверяющего личность физического лица, являющегося клиентом, представителем клиента, выгодоприобретателем, бенефициарным владельцем, истек до 1 февраля или после 15 июля 2020 года;</w:t>
      </w:r>
    </w:p>
    <w:p w14:paraId="0654C025" w14:textId="77777777" w:rsidR="0022279C" w:rsidRPr="0022279C" w:rsidRDefault="0022279C" w:rsidP="002227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кредитным организациям и </w:t>
      </w:r>
      <w:proofErr w:type="spellStart"/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некредитным</w:t>
      </w:r>
      <w:proofErr w:type="spellEnd"/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финансовым организациям до 30 сентября 2020 года не отказывать в приеме на обслуживание физическим лицам только в связи с тем, что срок действия их документа, удостоверяющего личность, истек до 1 февраля или после 15 июля 2020 года;</w:t>
      </w:r>
    </w:p>
    <w:p w14:paraId="7C5C0CC7" w14:textId="77777777" w:rsidR="0022279C" w:rsidRPr="0022279C" w:rsidRDefault="0022279C" w:rsidP="002227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кредитным организациям и </w:t>
      </w:r>
      <w:proofErr w:type="spellStart"/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некредитным</w:t>
      </w:r>
      <w:proofErr w:type="spellEnd"/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финансовым организациям рекомендуется обеспечить обновление сведений о документе, удостоверяющем личность, срок действия которого истек до 1 февраля или после 15 июля 2020 года, до 30 октября 2020 года.</w:t>
      </w:r>
    </w:p>
    <w:p w14:paraId="7263229D" w14:textId="77777777" w:rsidR="0022279C" w:rsidRPr="0022279C" w:rsidRDefault="0022279C" w:rsidP="0022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Меры по поддержке МСП</w:t>
      </w:r>
    </w:p>
    <w:p w14:paraId="6033C669" w14:textId="77777777" w:rsidR="0022279C" w:rsidRPr="0022279C" w:rsidRDefault="0022279C" w:rsidP="0022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Малый и средний бизнес — сектор экономики, в наибольшей степени пострадавший в результате пандемии и действия ограничительных мер. В связи с этим в целях поддержки его способности обслуживать кредиты Банк России рекомендует:</w:t>
      </w:r>
    </w:p>
    <w:p w14:paraId="3D4FA135" w14:textId="77777777" w:rsidR="0022279C" w:rsidRPr="0022279C" w:rsidRDefault="0022279C" w:rsidP="002227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кредитным организациям и микрофинансовым институтам </w:t>
      </w:r>
      <w:r w:rsidRPr="002227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 31 декабря 2020 года</w:t>
      </w: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продолжать реструктурировать кредиты (займы) субъектов МСП в рамках собственных программ, не назначать в период до 31 декабря 2020 года пени и штрафы по реструктурированным кредитам;</w:t>
      </w:r>
    </w:p>
    <w:p w14:paraId="46CDDE9A" w14:textId="77777777" w:rsidR="0022279C" w:rsidRPr="0022279C" w:rsidRDefault="0022279C" w:rsidP="0022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Одновременно Банк России продляет регуляторные послабления по резервам. Резервы по кредитам (займам), реструктурированным до 31 декабря 2020 года (в том числе в период с 1 марта по 30 сентября 2020 года), а также по которым микрофинансовыми институтами реализовано право не учитывать продолжительность просроченных платежей, должны быть сформированы в полном объеме </w:t>
      </w:r>
      <w:r w:rsidRPr="002227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 1 июля 2021 года</w:t>
      </w: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74D33606" w14:textId="77777777" w:rsidR="0022279C" w:rsidRPr="0022279C" w:rsidRDefault="0022279C" w:rsidP="0022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Прочие меры по поддержке потенциала финансового сектора по предоставлению ресурсов экономике и снижению регуляторной нагрузки</w:t>
      </w:r>
    </w:p>
    <w:p w14:paraId="65CC6AC1" w14:textId="77777777" w:rsidR="0022279C" w:rsidRPr="0022279C" w:rsidRDefault="0022279C" w:rsidP="0022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 целях поддержки финансовых организаций и их возможностей содействовать процессу восстановления экономической активности посредством предоставления финансовых ресурсов субъектам экономики, а также с учетом сохранения режима ограничений по организации рабочего процесса в ряде финансовых организаций Банком России продлены отдельные послабления для следующих типов финансовых организаций.</w:t>
      </w:r>
    </w:p>
    <w:p w14:paraId="7789F118" w14:textId="77777777" w:rsidR="0022279C" w:rsidRPr="0022279C" w:rsidRDefault="0022279C" w:rsidP="0022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Для кооперативов </w:t>
      </w:r>
      <w:r w:rsidRPr="002227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 30 июня 2021 года</w:t>
      </w: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продлено решение о неприменении меры воздействия за нарушение требований законодательства в части соблюдения финансовых нормативов и размера резервного фонда, если такие нарушения совершены и не устранены в период до 30 сентября 2020 года в результате удовлетворения кооперативами требований членов (пайщиков) кооперативов из средств резервного фонда.</w:t>
      </w:r>
    </w:p>
    <w:p w14:paraId="01F323E7" w14:textId="77777777" w:rsidR="0022279C" w:rsidRPr="0022279C" w:rsidRDefault="0022279C" w:rsidP="0022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Банком России ведется работа по подготовке предложений о внесении на законодательном уровне изменений, регламентирующих дистанционное проведение общих собраний кредитными потребительскими кооперативами, сельскохозяйственными кредитными потребительскими кооперативами. До внесения соответствующих поправок Банк России не будет применять меры к кредитным потребительским кооперативам, сельскохозяйственным кредитным потребительским кооперативам за нарушение порядка и сроков проведения общих собраний в связи с невозможностью обеспечения удаленного участия в них их членов или проведения указанных общих собраний в форме заочного голосования.</w:t>
      </w:r>
    </w:p>
    <w:p w14:paraId="26636421" w14:textId="77777777" w:rsidR="0022279C" w:rsidRPr="0022279C" w:rsidRDefault="0022279C" w:rsidP="0022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Завершение действия регуляторных послаблений</w:t>
      </w:r>
    </w:p>
    <w:p w14:paraId="4E04FABD" w14:textId="77777777" w:rsidR="0022279C" w:rsidRPr="0022279C" w:rsidRDefault="0022279C" w:rsidP="0022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 В связи со снятием ограничительных мер в большинстве регионов, снижением количества сотрудников финансовых организаций, работающих удаленно, возобновлением работы офисов финансовых организаций, а также ведомственных учреждений и возможностью их посещения отсутствует необходимость в продлении следующих мер:</w:t>
      </w:r>
    </w:p>
    <w:p w14:paraId="53D6BD95" w14:textId="77777777" w:rsidR="0022279C" w:rsidRPr="0022279C" w:rsidRDefault="0022279C" w:rsidP="0022279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Осуществление кооперативами выплат своим членам (пайщикам), ассоциированным членам за счет средств резервного фонда при отнесении таких операций к непредвиденным расходам.</w:t>
      </w:r>
    </w:p>
    <w:p w14:paraId="3A6F8743" w14:textId="77777777" w:rsidR="0022279C" w:rsidRPr="0022279C" w:rsidRDefault="0022279C" w:rsidP="0022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5.4. В связи с тем, что большинство финансовых организаций возобновили свою работу в полном объеме, организовали процессы даже с учетом дистанционной работы части сотрудников, целесообразно вернуться к стандартным надзорным процедурам, важным для поддержания устойчивости организаций на фоне усиления кредитных рисков. С учетом этого Банк России не планирует продлевать действие следующих послаблений: </w:t>
      </w:r>
    </w:p>
    <w:p w14:paraId="6C12E54D" w14:textId="77777777" w:rsidR="0022279C" w:rsidRPr="0022279C" w:rsidRDefault="0022279C" w:rsidP="0022279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о неприменении к финансовым организациям мер воздействия, предусмотренных законодательством Российской Федерации за нарушения, допущенные в следующих случаях:</w:t>
      </w:r>
    </w:p>
    <w:p w14:paraId="3D0DA560" w14:textId="77777777" w:rsidR="0022279C" w:rsidRPr="0022279C" w:rsidRDefault="0022279C" w:rsidP="0022279C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 случае нарушения кредитными организациями и </w:t>
      </w:r>
      <w:proofErr w:type="spellStart"/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некредитными</w:t>
      </w:r>
      <w:proofErr w:type="spellEnd"/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финансовыми организациями порядка и сроков представления в уполномоченный орган сведений и информации в соответствии с законодательством о ПОД/ФТ, а также сроков разработки и утверждения целевых правил внутреннего контроля;</w:t>
      </w:r>
    </w:p>
    <w:p w14:paraId="49774202" w14:textId="77777777" w:rsidR="0022279C" w:rsidRPr="0022279C" w:rsidRDefault="0022279C" w:rsidP="0022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1 </w:t>
      </w: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27 банков, представивших информацию, приходится около 75% активов банковского сектора.</w:t>
      </w:r>
    </w:p>
    <w:p w14:paraId="7F2C2EF3" w14:textId="77777777" w:rsidR="0022279C" w:rsidRPr="0022279C" w:rsidRDefault="0022279C" w:rsidP="0022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2 </w:t>
      </w: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целей расчета ПДН среднемесячный доход заемщика, как правило, рассчитывается за 12 месяцев.</w:t>
      </w:r>
    </w:p>
    <w:p w14:paraId="5D121384" w14:textId="77777777" w:rsidR="0022279C" w:rsidRPr="0022279C" w:rsidRDefault="0022279C" w:rsidP="0022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3 </w:t>
      </w:r>
      <w:r w:rsidRPr="00222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Положение Банка России от 22.12.2014 № 448-П «О порядке бухгалтерского учета основных средств, нематериальных активов, недвижимости, временно не используемой в основной деятельности, долгосрочных активов, предназначенных для продажи, запасов, средств труда, полученных по договорам отступного, залога, назначение которых не определено, в кредитных организациях».</w:t>
      </w:r>
    </w:p>
    <w:p w14:paraId="4D237CC2" w14:textId="77777777" w:rsidR="0022279C" w:rsidRDefault="0022279C"/>
    <w:sectPr w:rsidR="0022279C" w:rsidSect="00222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D2B91"/>
    <w:multiLevelType w:val="multilevel"/>
    <w:tmpl w:val="4F3E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6770C"/>
    <w:multiLevelType w:val="multilevel"/>
    <w:tmpl w:val="A0BC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F5535"/>
    <w:multiLevelType w:val="multilevel"/>
    <w:tmpl w:val="1ED2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5E3020"/>
    <w:multiLevelType w:val="multilevel"/>
    <w:tmpl w:val="F786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A75801"/>
    <w:multiLevelType w:val="multilevel"/>
    <w:tmpl w:val="DAA2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5212A0"/>
    <w:multiLevelType w:val="multilevel"/>
    <w:tmpl w:val="733C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A451C2"/>
    <w:multiLevelType w:val="multilevel"/>
    <w:tmpl w:val="B22C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6C2335"/>
    <w:multiLevelType w:val="multilevel"/>
    <w:tmpl w:val="C90E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7F0F72"/>
    <w:multiLevelType w:val="multilevel"/>
    <w:tmpl w:val="6460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8C46E8"/>
    <w:multiLevelType w:val="multilevel"/>
    <w:tmpl w:val="EB76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4A0A32"/>
    <w:multiLevelType w:val="multilevel"/>
    <w:tmpl w:val="BB28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9C"/>
    <w:rsid w:val="0022279C"/>
    <w:rsid w:val="00227066"/>
    <w:rsid w:val="00305510"/>
    <w:rsid w:val="00D2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FCFD"/>
  <w15:chartTrackingRefBased/>
  <w15:docId w15:val="{DA166D2F-EA47-4907-9E92-3AA3E932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1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4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22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24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2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0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5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9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9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29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07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7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8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758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9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8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8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0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9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Иванович</dc:creator>
  <cp:keywords/>
  <dc:description/>
  <cp:lastModifiedBy>Владимир Иванович</cp:lastModifiedBy>
  <cp:revision>1</cp:revision>
  <dcterms:created xsi:type="dcterms:W3CDTF">2021-02-10T07:09:00Z</dcterms:created>
  <dcterms:modified xsi:type="dcterms:W3CDTF">2021-02-10T07:23:00Z</dcterms:modified>
</cp:coreProperties>
</file>